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0C4B" w14:textId="48C8F1B3" w:rsidR="00FF5D1C" w:rsidRPr="001D46F4" w:rsidRDefault="00FF5D1C" w:rsidP="00FF5D1C">
      <w:pPr>
        <w:jc w:val="center"/>
        <w:rPr>
          <w:rFonts w:ascii="Times New Roman" w:hAnsi="Times New Roman" w:cs="Times New Roman"/>
          <w:sz w:val="24"/>
          <w:szCs w:val="28"/>
        </w:rPr>
      </w:pPr>
      <w:r w:rsidRPr="001D46F4">
        <w:rPr>
          <w:rFonts w:ascii="Times New Roman" w:hAnsi="Times New Roman" w:cs="Times New Roman"/>
          <w:sz w:val="24"/>
          <w:szCs w:val="28"/>
        </w:rPr>
        <w:t xml:space="preserve">PYTANIA NA EGZAMIN MAGISTERSKI – OZE – rok </w:t>
      </w:r>
      <w:r w:rsidR="005543A6">
        <w:rPr>
          <w:rFonts w:ascii="Times New Roman" w:hAnsi="Times New Roman" w:cs="Times New Roman"/>
          <w:sz w:val="24"/>
          <w:szCs w:val="28"/>
        </w:rPr>
        <w:t>202</w:t>
      </w:r>
      <w:r w:rsidR="00BA5120">
        <w:rPr>
          <w:rFonts w:ascii="Times New Roman" w:hAnsi="Times New Roman" w:cs="Times New Roman"/>
          <w:sz w:val="24"/>
          <w:szCs w:val="28"/>
        </w:rPr>
        <w:t>3</w:t>
      </w:r>
      <w:r w:rsidR="005543A6">
        <w:rPr>
          <w:rFonts w:ascii="Times New Roman" w:hAnsi="Times New Roman" w:cs="Times New Roman"/>
          <w:sz w:val="24"/>
          <w:szCs w:val="28"/>
        </w:rPr>
        <w:t>/202</w:t>
      </w:r>
      <w:r w:rsidR="00BA5120">
        <w:rPr>
          <w:rFonts w:ascii="Times New Roman" w:hAnsi="Times New Roman" w:cs="Times New Roman"/>
          <w:sz w:val="24"/>
          <w:szCs w:val="28"/>
        </w:rPr>
        <w:t>4</w:t>
      </w:r>
    </w:p>
    <w:p w14:paraId="7098A0B7" w14:textId="77777777" w:rsidR="00FF5D1C" w:rsidRPr="001D46F4" w:rsidRDefault="00FF5D1C" w:rsidP="00013387">
      <w:pPr>
        <w:rPr>
          <w:rFonts w:ascii="Arial" w:hAnsi="Arial" w:cs="Arial"/>
          <w:szCs w:val="24"/>
        </w:rPr>
      </w:pPr>
    </w:p>
    <w:p w14:paraId="2A5A75E8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Omówić przykładowe techniki i zasady stosowane w budownictwie niskoemisyjnym</w:t>
      </w:r>
    </w:p>
    <w:p w14:paraId="6B6A0EA2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Mostki termiczne, ich rodzaje i sposoby eliminacji</w:t>
      </w:r>
    </w:p>
    <w:p w14:paraId="5EC05662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Na czym polega inteligentne budownictwo niskoemisyjne i niskoenergetyczne</w:t>
      </w:r>
    </w:p>
    <w:p w14:paraId="13BEDF6C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Budynek pasywny - wymagania i cechy charakterystyczne</w:t>
      </w:r>
    </w:p>
    <w:p w14:paraId="1C8DE257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Bilans cieplny budynku niskoenergetycznego i przykłady instalacji grzewczych </w:t>
      </w:r>
    </w:p>
    <w:p w14:paraId="0A30EE9D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Wyjaśnić zjawisko zamrożenia rekuperatora i metody jego zapobiegania</w:t>
      </w:r>
    </w:p>
    <w:p w14:paraId="123EA9B2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Rodzaje rekuperatorów oraz ich charakterystyka</w:t>
      </w:r>
    </w:p>
    <w:p w14:paraId="0900CF09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Bezpośrednie i pośrednie gromadzenie energii mechanicznej</w:t>
      </w:r>
    </w:p>
    <w:p w14:paraId="7F1336AD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Idea magazynowania energii w formie sprężonego powietrza. Schemat technologiczny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1F2583B6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 xml:space="preserve">Magazynowanie ciepła w oparciu o systemy LHS (Laten Heat </w:t>
      </w:r>
      <w:proofErr w:type="gramStart"/>
      <w:r w:rsidRPr="001D46F4">
        <w:rPr>
          <w:rFonts w:ascii="Arial" w:eastAsia="Times New Roman" w:hAnsi="Arial" w:cs="Arial"/>
          <w:color w:val="000000"/>
          <w:szCs w:val="24"/>
        </w:rPr>
        <w:t>Storage)-</w:t>
      </w:r>
      <w:proofErr w:type="gramEnd"/>
      <w:r w:rsidRPr="001D46F4">
        <w:rPr>
          <w:rFonts w:ascii="Arial" w:eastAsia="Times New Roman" w:hAnsi="Arial" w:cs="Arial"/>
          <w:color w:val="000000"/>
          <w:szCs w:val="24"/>
        </w:rPr>
        <w:t xml:space="preserve"> praktyczne wykorzystanie materiałów PCM</w:t>
      </w:r>
    </w:p>
    <w:p w14:paraId="7D3A9024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Podstawowe wymagania projektowe dla wentylacji z odzyskiem ciepła w gospodarstwach domowych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4AB8A9AB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Istota konwersji naprężeń mechanicznych na prąd elektryczny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2951D0E0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Idea autonomicznej suszarki komorowej zasilanej energią słoneczną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42C6ED5A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Rodzaje trakerów. Idea pracy. Korzyści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648C7693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Istota budowy elektrowni wiatrowych offshore. Korzyści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7BADE048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Problem z podgrzewaniem wody przy wykorzystaniu grzałek zasilanych prądem z paneli PV. Sposób rozwiązania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.</w:t>
      </w:r>
    </w:p>
    <w:p w14:paraId="58822629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bCs/>
          <w:color w:val="000000"/>
          <w:szCs w:val="24"/>
        </w:rPr>
        <w:t>Co obejmuje zintegrowany system automatycznego sterowania w biogazow</w:t>
      </w:r>
      <w:r w:rsidR="00FF5D1C" w:rsidRPr="001D46F4">
        <w:rPr>
          <w:rFonts w:ascii="Arial" w:eastAsia="Times New Roman" w:hAnsi="Arial" w:cs="Arial"/>
          <w:bCs/>
          <w:color w:val="000000"/>
          <w:szCs w:val="24"/>
        </w:rPr>
        <w:t>n</w:t>
      </w:r>
      <w:r w:rsidRPr="001D46F4">
        <w:rPr>
          <w:rFonts w:ascii="Arial" w:eastAsia="Times New Roman" w:hAnsi="Arial" w:cs="Arial"/>
          <w:bCs/>
          <w:color w:val="000000"/>
          <w:szCs w:val="24"/>
        </w:rPr>
        <w:t>i – monitoring techniczny?</w:t>
      </w:r>
    </w:p>
    <w:p w14:paraId="13FEE46A" w14:textId="5FED4DA5" w:rsidR="00013387" w:rsidRPr="001D46F4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bCs/>
          <w:color w:val="000000"/>
          <w:szCs w:val="24"/>
        </w:rPr>
        <w:t>Co obejmuje zintegrowany system automatycznego sterowania w biogazowi – monitoring technologiczny procesu fermentacji?</w:t>
      </w:r>
    </w:p>
    <w:p w14:paraId="348D711A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bCs/>
          <w:color w:val="000000"/>
          <w:szCs w:val="24"/>
        </w:rPr>
        <w:t>Wymie</w:t>
      </w:r>
      <w:r w:rsidR="00FF5D1C" w:rsidRPr="001D46F4">
        <w:rPr>
          <w:rFonts w:ascii="Arial" w:eastAsia="Times New Roman" w:hAnsi="Arial" w:cs="Arial"/>
          <w:bCs/>
          <w:color w:val="000000"/>
          <w:szCs w:val="24"/>
        </w:rPr>
        <w:t>nić</w:t>
      </w:r>
      <w:r w:rsidRPr="001D46F4">
        <w:rPr>
          <w:rFonts w:ascii="Arial" w:eastAsia="Times New Roman" w:hAnsi="Arial" w:cs="Arial"/>
          <w:bCs/>
          <w:color w:val="000000"/>
          <w:szCs w:val="24"/>
        </w:rPr>
        <w:t xml:space="preserve"> czynności związane z przeglądem silnika kogeneracyjnego.</w:t>
      </w:r>
    </w:p>
    <w:p w14:paraId="3138CDEF" w14:textId="77777777" w:rsidR="00013387" w:rsidRPr="001D46F4" w:rsidRDefault="00FF5D1C" w:rsidP="0001338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bCs/>
          <w:color w:val="000000"/>
          <w:szCs w:val="24"/>
        </w:rPr>
        <w:t>Wymienić</w:t>
      </w:r>
      <w:r w:rsidR="00013387" w:rsidRPr="001D46F4">
        <w:rPr>
          <w:rFonts w:ascii="Arial" w:eastAsia="Times New Roman" w:hAnsi="Arial" w:cs="Arial"/>
          <w:bCs/>
          <w:color w:val="000000"/>
          <w:szCs w:val="24"/>
        </w:rPr>
        <w:t xml:space="preserve"> sposoby oczyszczania biogazu z siarkowodoru przed skierowaniem do silnika kogeneracyjnego.</w:t>
      </w:r>
    </w:p>
    <w:p w14:paraId="6B411B58" w14:textId="77777777" w:rsidR="00850D14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Cs w:val="24"/>
        </w:rPr>
      </w:pPr>
      <w:r w:rsidRPr="001D46F4">
        <w:rPr>
          <w:rFonts w:ascii="Arial" w:eastAsia="Times New Roman" w:hAnsi="Arial" w:cs="Arial"/>
          <w:bCs/>
          <w:color w:val="000000"/>
          <w:szCs w:val="24"/>
        </w:rPr>
        <w:t>Monitoring biotechnologiczny obejmujący analizy laboratoryjne jako istotny element stabilnego procesu fermentacji w biogazowi przed, w trakcie i po uruchomieniu instalacji.</w:t>
      </w:r>
    </w:p>
    <w:p w14:paraId="3BC2F0C9" w14:textId="2DC8A92E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iCs/>
          <w:color w:val="000000"/>
          <w:szCs w:val="24"/>
        </w:rPr>
        <w:t>Omówić podział i budowę   biogazowni rolniczych?</w:t>
      </w:r>
    </w:p>
    <w:p w14:paraId="409C2590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Omów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ić</w:t>
      </w:r>
      <w:r w:rsidRPr="001D46F4">
        <w:rPr>
          <w:rFonts w:ascii="Arial" w:eastAsia="Times New Roman" w:hAnsi="Arial" w:cs="Arial"/>
          <w:color w:val="000000"/>
          <w:szCs w:val="24"/>
        </w:rPr>
        <w:t xml:space="preserve"> procedurę oceny oddziaływania przedsięwzięć na środowisko.</w:t>
      </w:r>
    </w:p>
    <w:p w14:paraId="4159D749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Przedstaw</w:t>
      </w:r>
      <w:r w:rsidR="00FF5D1C" w:rsidRPr="001D46F4">
        <w:rPr>
          <w:rFonts w:ascii="Arial" w:eastAsia="Times New Roman" w:hAnsi="Arial" w:cs="Arial"/>
          <w:color w:val="000000"/>
          <w:szCs w:val="24"/>
        </w:rPr>
        <w:t>ić</w:t>
      </w:r>
      <w:r w:rsidRPr="001D46F4">
        <w:rPr>
          <w:rFonts w:ascii="Arial" w:eastAsia="Times New Roman" w:hAnsi="Arial" w:cs="Arial"/>
          <w:color w:val="000000"/>
          <w:szCs w:val="24"/>
        </w:rPr>
        <w:t xml:space="preserve"> elementy składowe raportu oddziaływania przedsięwzięcia na środowisko.</w:t>
      </w:r>
    </w:p>
    <w:p w14:paraId="2EA4DA6C" w14:textId="77777777" w:rsidR="00FF5D1C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1D46F4">
        <w:rPr>
          <w:rFonts w:ascii="Arial" w:eastAsia="Times New Roman" w:hAnsi="Arial" w:cs="Arial"/>
          <w:color w:val="000000"/>
          <w:szCs w:val="24"/>
        </w:rPr>
        <w:t xml:space="preserve">Omów atrybuty decydujące o innowacyjności technologii </w:t>
      </w:r>
    </w:p>
    <w:p w14:paraId="055C1EFB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hAnsi="Arial" w:cs="Arial"/>
          <w:bCs/>
          <w:color w:val="000000"/>
          <w:szCs w:val="24"/>
        </w:rPr>
      </w:pPr>
      <w:r w:rsidRPr="001D46F4">
        <w:rPr>
          <w:rFonts w:ascii="Arial" w:hAnsi="Arial" w:cs="Arial"/>
          <w:bCs/>
          <w:color w:val="000000"/>
          <w:szCs w:val="24"/>
        </w:rPr>
        <w:t>Co to jest BIZNESPLAN i co powinien zawierać?</w:t>
      </w:r>
    </w:p>
    <w:p w14:paraId="3A1D2A12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Wymienić czynniki niezbędnie do zaistnienia wybuchu gazowego i pyłowego; wyjaśnić pojęcie zapłonu.</w:t>
      </w:r>
    </w:p>
    <w:p w14:paraId="0BE3D8CC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Jakie są najważniejsze charakterystyki wybuchowości gazów i pyłów? </w:t>
      </w:r>
    </w:p>
    <w:p w14:paraId="3F00BEEF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Zdefiniować pojęcie granic wybuchowości i omówić sposób ich wyznaczania.</w:t>
      </w:r>
    </w:p>
    <w:p w14:paraId="1AA9B2D7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Metody zapobiegania zagrożeniu wybuchem substancji pylistych.</w:t>
      </w:r>
    </w:p>
    <w:p w14:paraId="7B3E97AD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Jakie formy może przybierać niekontrolowane spalanie i jakie niszczące skutki one powodują?</w:t>
      </w:r>
    </w:p>
    <w:p w14:paraId="2B4DC32E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Pompy. Rodzaje pomp znajdujących zastosowanie w OŹE. Obliczanie sprawności.</w:t>
      </w:r>
    </w:p>
    <w:p w14:paraId="614594F3" w14:textId="77777777" w:rsidR="00013387" w:rsidRPr="001D46F4" w:rsidRDefault="00FF5D1C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Wymienić i opisać</w:t>
      </w:r>
      <w:r w:rsidR="00013387" w:rsidRPr="001D46F4">
        <w:rPr>
          <w:rFonts w:ascii="Arial" w:eastAsia="Times New Roman" w:hAnsi="Arial" w:cs="Arial"/>
          <w:color w:val="000000"/>
          <w:szCs w:val="24"/>
        </w:rPr>
        <w:t xml:space="preserve"> mechanizmy przekazywania ciepła.</w:t>
      </w:r>
    </w:p>
    <w:p w14:paraId="457014EE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Jak można zabezpieczyć się przed wybuchami pyłu z biomasy?</w:t>
      </w:r>
    </w:p>
    <w:p w14:paraId="77DFC274" w14:textId="77777777" w:rsidR="00013387" w:rsidRPr="001D46F4" w:rsidRDefault="00013387" w:rsidP="00013387">
      <w:pPr>
        <w:pStyle w:val="Akapitzlist"/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000000"/>
          <w:szCs w:val="24"/>
        </w:rPr>
      </w:pPr>
      <w:r w:rsidRPr="001D46F4">
        <w:rPr>
          <w:rFonts w:ascii="Arial" w:eastAsia="Times New Roman" w:hAnsi="Arial" w:cs="Arial"/>
          <w:color w:val="000000"/>
          <w:szCs w:val="24"/>
        </w:rPr>
        <w:t>Równanie Bernoullego i jego wykorzystanie w energetyce.</w:t>
      </w:r>
    </w:p>
    <w:p w14:paraId="5E33CDBB" w14:textId="77777777" w:rsidR="00013387" w:rsidRPr="001D46F4" w:rsidRDefault="00013387" w:rsidP="00013387">
      <w:pPr>
        <w:spacing w:after="0" w:line="240" w:lineRule="auto"/>
        <w:ind w:left="567" w:hanging="720"/>
        <w:rPr>
          <w:rFonts w:ascii="Arial" w:hAnsi="Arial" w:cs="Arial"/>
          <w:szCs w:val="24"/>
        </w:rPr>
      </w:pPr>
    </w:p>
    <w:p w14:paraId="046866DD" w14:textId="77777777" w:rsidR="00F260F5" w:rsidRPr="001D46F4" w:rsidRDefault="00F260F5" w:rsidP="00013387">
      <w:pPr>
        <w:spacing w:after="0" w:line="240" w:lineRule="auto"/>
        <w:ind w:left="567" w:hanging="720"/>
        <w:rPr>
          <w:rFonts w:ascii="Arial" w:hAnsi="Arial" w:cs="Arial"/>
          <w:szCs w:val="24"/>
        </w:rPr>
      </w:pPr>
    </w:p>
    <w:sectPr w:rsidR="00F260F5" w:rsidRPr="001D46F4" w:rsidSect="00A7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1B1"/>
    <w:multiLevelType w:val="hybridMultilevel"/>
    <w:tmpl w:val="D352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4489"/>
    <w:multiLevelType w:val="hybridMultilevel"/>
    <w:tmpl w:val="56A45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F57504"/>
    <w:multiLevelType w:val="hybridMultilevel"/>
    <w:tmpl w:val="BD66AC4A"/>
    <w:lvl w:ilvl="0" w:tplc="C3E25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711D"/>
    <w:multiLevelType w:val="hybridMultilevel"/>
    <w:tmpl w:val="7ED64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7D22"/>
    <w:multiLevelType w:val="hybridMultilevel"/>
    <w:tmpl w:val="091E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1CA5"/>
    <w:multiLevelType w:val="hybridMultilevel"/>
    <w:tmpl w:val="167C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77D"/>
    <w:multiLevelType w:val="hybridMultilevel"/>
    <w:tmpl w:val="9040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5AC8"/>
    <w:multiLevelType w:val="hybridMultilevel"/>
    <w:tmpl w:val="18B0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44B9"/>
    <w:multiLevelType w:val="hybridMultilevel"/>
    <w:tmpl w:val="7094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700C"/>
    <w:multiLevelType w:val="hybridMultilevel"/>
    <w:tmpl w:val="02967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90208"/>
    <w:multiLevelType w:val="hybridMultilevel"/>
    <w:tmpl w:val="BDB4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2928">
    <w:abstractNumId w:val="1"/>
  </w:num>
  <w:num w:numId="2" w16cid:durableId="1057514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117583">
    <w:abstractNumId w:val="2"/>
  </w:num>
  <w:num w:numId="4" w16cid:durableId="1957907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967993">
    <w:abstractNumId w:val="0"/>
  </w:num>
  <w:num w:numId="6" w16cid:durableId="108596888">
    <w:abstractNumId w:val="4"/>
  </w:num>
  <w:num w:numId="7" w16cid:durableId="976111778">
    <w:abstractNumId w:val="6"/>
  </w:num>
  <w:num w:numId="8" w16cid:durableId="1272124157">
    <w:abstractNumId w:val="7"/>
  </w:num>
  <w:num w:numId="9" w16cid:durableId="908998855">
    <w:abstractNumId w:val="10"/>
  </w:num>
  <w:num w:numId="10" w16cid:durableId="324404160">
    <w:abstractNumId w:val="8"/>
  </w:num>
  <w:num w:numId="11" w16cid:durableId="1491561855">
    <w:abstractNumId w:val="5"/>
  </w:num>
  <w:num w:numId="12" w16cid:durableId="94230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D14"/>
    <w:rsid w:val="00013387"/>
    <w:rsid w:val="00016CAC"/>
    <w:rsid w:val="000E5BA2"/>
    <w:rsid w:val="00190BE8"/>
    <w:rsid w:val="001D46F4"/>
    <w:rsid w:val="003F23D7"/>
    <w:rsid w:val="003F3A5F"/>
    <w:rsid w:val="005543A6"/>
    <w:rsid w:val="00642E8D"/>
    <w:rsid w:val="00735C4E"/>
    <w:rsid w:val="00850D14"/>
    <w:rsid w:val="00985D8E"/>
    <w:rsid w:val="00A143D6"/>
    <w:rsid w:val="00A2792D"/>
    <w:rsid w:val="00A76C84"/>
    <w:rsid w:val="00BA5120"/>
    <w:rsid w:val="00BB45B5"/>
    <w:rsid w:val="00E42698"/>
    <w:rsid w:val="00F260F5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31C7"/>
  <w15:docId w15:val="{68D12BD6-E9CD-4684-AE3D-0D629FD5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D1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13387"/>
  </w:style>
  <w:style w:type="paragraph" w:styleId="Tekstdymka">
    <w:name w:val="Balloon Text"/>
    <w:basedOn w:val="Normalny"/>
    <w:link w:val="TekstdymkaZnak"/>
    <w:uiPriority w:val="99"/>
    <w:semiHidden/>
    <w:unhideWhenUsed/>
    <w:rsid w:val="001D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Pentoś</cp:lastModifiedBy>
  <cp:revision>12</cp:revision>
  <cp:lastPrinted>2020-02-17T07:33:00Z</cp:lastPrinted>
  <dcterms:created xsi:type="dcterms:W3CDTF">2016-07-05T06:07:00Z</dcterms:created>
  <dcterms:modified xsi:type="dcterms:W3CDTF">2023-10-30T05:59:00Z</dcterms:modified>
</cp:coreProperties>
</file>